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Absence for emergency response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Absence for emergency response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§810. ABSENCE FOR EMERGENCY RESPONSE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