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§845. EMPLOYEE BENEFITS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