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§850-O. PAID FAMILY AND MEDICAL LEAVE BENEFITS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