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850-P</w:t>
        <w:t xml:space="preserve">.  </w:t>
      </w:r>
      <w:r>
        <w:rPr>
          <w:b/>
        </w:rPr>
        <w:t xml:space="preserve">Implementation</w:t>
      </w:r>
    </w:p>
    <w:p>
      <w:pPr>
        <w:jc w:val="both"/>
        <w:spacing w:before="100" w:after="100"/>
        <w:ind w:start="360"/>
        <w:ind w:firstLine="360"/>
      </w:pPr>
      <w:r>
        <w:rPr/>
      </w:r>
      <w:r>
        <w:rPr/>
      </w:r>
      <w:r>
        <w:t xml:space="preserve">Contributions must begin January 1, 2025 to provide funds for the fund. The administrator shall begin processing claims on May 1, 2026, except that, by February 1, 2026, the authority shall conduct an actuarial study to ensure the solvency of the fund in order to begin processing claims on May 1st. If additional contributions are required based on the results of the actuarial study, the authority, through a majority vote, may require a one-time suspension of claims payments of no longer than 3 months.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r>
      <w:r>
        <w:rPr/>
      </w:r>
      <w:r>
        <w:t xml:space="preserve">The administrator shall establish reasonable procedures and forms for filing claims for benefits under this subchapter and shall specify what supporting documentation is necessary to support a claim for benefits, including documentation required from a health care provider for proof of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§850-P.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§850-P.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§850-P.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