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Arrangements</w:t>
      </w:r>
    </w:p>
    <w:p>
      <w:pPr>
        <w:jc w:val="both"/>
        <w:spacing w:before="100" w:after="100"/>
        <w:ind w:start="360"/>
        <w:ind w:firstLine="360"/>
      </w:pPr>
      <w:r>
        <w:rPr/>
      </w:r>
      <w:r>
        <w:rPr/>
      </w:r>
      <w:r>
        <w:t xml:space="preserve">A person, partnership, union, firm or corporation involved in a labor, strike or lockout may not, directly or indirectly, employ in the place of an employee involved in that strike or lockout any person who customarily and repeatedly offers to accept employment in the place of employees involved in a labor strike or lockout or contract or arrange with any other person, partnership, union, agency, firm or corporation to recruit, procure, supply or refer persons for employment who customarily and repeatedly offer to accept employment in place of employees involved in a labor, strike or lockout.</w:t>
      </w:r>
      <w:r>
        <w:t xml:space="preserve">  </w:t>
      </w:r>
      <w:r xmlns:wp="http://schemas.openxmlformats.org/drawingml/2010/wordprocessingDrawing" xmlns:w15="http://schemas.microsoft.com/office/word/2012/wordml">
        <w:rPr>
          <w:rFonts w:ascii="Arial" w:hAnsi="Arial" w:cs="Arial"/>
          <w:sz w:val="22"/>
          <w:szCs w:val="22"/>
        </w:rPr>
        <w:t xml:space="preserve">[RR 2023, c. 2, Pt. E,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§853.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