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or cousin; a sibling of a bond worker's parent; or a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E, §38 (COR).]</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§38 (COR).]</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RR 2023, c. 2, Pt. E,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Proof of equipment ownership for employers using foreign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Proof of equipment ownership for employers using foreign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§872. PROOF OF EQUIPMENT OWNERSHIP FOR EMPLOYERS USING FOREIGN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