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 Employment leaves for caregivers and persons affected by extreme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Employment leaves for caregivers and persons affected by extreme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§875. EMPLOYMENT LEAVES FOR CAREGIVERS AND PERSONS AFFECTED BY EXTREME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