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979-D</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January 1, 1975,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To execute in writing any agreements arrived at, the term of any such agreement to be subject to negotiation but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1987, c. 33 (AMD).]</w:t>
      </w:r>
    </w:p>
    <w:p>
      <w:pPr>
        <w:jc w:val="both"/>
        <w:spacing w:before="100" w:after="0"/>
        <w:ind w:start="720"/>
      </w:pPr>
      <w:r>
        <w:rPr/>
        <w:t>D</w:t>
        <w:t xml:space="preserve">.  </w:t>
      </w:r>
      <w:r>
        <w:rPr/>
      </w:r>
      <w:r>
        <w:t xml:space="preserve">To participate in good faith in the mediation, fact finding and 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289 (AMD).]</w:t>
      </w:r>
    </w:p>
    <w:p>
      <w:pPr>
        <w:jc w:val="both"/>
        <w:spacing w:before="100" w:after="0"/>
        <w:ind w:start="720"/>
      </w:pPr>
      <w:r>
        <w:rPr/>
        <w:t>E</w:t>
        <w:t xml:space="preserve">.  </w:t>
      </w:r>
      <w:r>
        <w:rPr/>
      </w:r>
      <w:r>
        <w:t xml:space="preserve">To confer and negotiate in good faith:</w:t>
      </w:r>
    </w:p>
    <w:p>
      <w:pPr>
        <w:jc w:val="both"/>
        <w:spacing w:before="100" w:after="0"/>
        <w:ind w:start="1080"/>
      </w:pPr>
      <w:r>
        <w:rPr/>
        <w:t>(</w:t>
        <w:t>1</w:t>
        <w:t xml:space="preserve">)  </w:t>
      </w:r>
      <w:r>
        <w:rPr/>
      </w:r>
      <w:r>
        <w:t xml:space="preserve">To confer and negotiate in good faith with respect to wages, hours, working conditions and contract grievance arbitration, except that by such obligation neither party shall be compelled to agree to a proposal or be required to make a concession. All matters relating to the relationship between the employer and employees shall be the subject of collective bargaining, except those matters which are prescribed or controlled by public law. Such matters appropriate for collective bargaining to the extent they are not prescribed or controlled by public law include but are not limited to:</w:t>
      </w:r>
    </w:p>
    <w:p>
      <w:pPr>
        <w:jc w:val="both"/>
        <w:spacing w:before="100" w:after="0"/>
        <w:ind w:start="1440"/>
      </w:pPr>
      <w:r>
        <w:rPr/>
        <w:t>(</w:t>
        <w:t>a</w:t>
        <w:t xml:space="preserve">)  </w:t>
      </w:r>
      <w:r>
        <w:rPr/>
      </w:r>
      <w:r>
        <w:t xml:space="preserve">Wage and salary schedules to the extent they are inconsistent with rates prevailing in commerce and industry for comparable work within the State;</w:t>
      </w:r>
    </w:p>
    <w:p>
      <w:pPr>
        <w:jc w:val="both"/>
        <w:spacing w:before="100" w:after="0"/>
        <w:ind w:start="1440"/>
      </w:pPr>
      <w:r>
        <w:rPr/>
        <w:t>(</w:t>
        <w:t>b</w:t>
        <w:t xml:space="preserve">)  </w:t>
      </w:r>
      <w:r>
        <w:rPr/>
      </w:r>
      <w:r>
        <w:t xml:space="preserve">Work schedules relating to assigned hours and days of the week;</w:t>
      </w:r>
    </w:p>
    <w:p>
      <w:pPr>
        <w:jc w:val="both"/>
        <w:spacing w:before="100" w:after="0"/>
        <w:ind w:start="1440"/>
      </w:pPr>
      <w:r>
        <w:rPr/>
        <w:t>(</w:t>
        <w:t>c</w:t>
        <w:t xml:space="preserve">)  </w:t>
      </w:r>
      <w:r>
        <w:rPr/>
      </w:r>
      <w:r>
        <w:t xml:space="preserve">Use of vacation or sick leave, or both;</w:t>
      </w:r>
    </w:p>
    <w:p>
      <w:pPr>
        <w:jc w:val="both"/>
        <w:spacing w:before="100" w:after="0"/>
        <w:ind w:start="1440"/>
      </w:pPr>
      <w:r>
        <w:rPr/>
        <w:t>(</w:t>
        <w:t>d</w:t>
        <w:t xml:space="preserve">)  </w:t>
      </w:r>
      <w:r>
        <w:rPr/>
      </w:r>
      <w:r>
        <w:t xml:space="preserve">General working conditions;</w:t>
      </w:r>
    </w:p>
    <w:p>
      <w:pPr>
        <w:jc w:val="both"/>
        <w:spacing w:before="100" w:after="0"/>
        <w:ind w:start="1440"/>
      </w:pPr>
      <w:r>
        <w:rPr/>
        <w:t>(</w:t>
        <w:t>e</w:t>
        <w:t xml:space="preserve">)  </w:t>
      </w:r>
      <w:r>
        <w:rPr/>
      </w:r>
      <w:r>
        <w:t xml:space="preserve">Overtime practices;</w:t>
      </w:r>
    </w:p>
    <w:p>
      <w:pPr>
        <w:jc w:val="both"/>
        <w:spacing w:before="100" w:after="0"/>
        <w:ind w:start="1440"/>
      </w:pPr>
      <w:r>
        <w:rPr/>
        <w:t>(</w:t>
        <w:t>f</w:t>
        <w:t xml:space="preserve">)  </w:t>
      </w:r>
      <w:r>
        <w:rPr/>
      </w:r>
      <w:r>
        <w:t xml:space="preserve">Rules for personnel administration, except for rules relating to applicants for employment in state or legislative service and state classified employees in an initial probationary status, including any extensions thereof, as long as such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1440"/>
      </w:pPr>
      <w:r>
        <w:rPr/>
        <w:t>(</w:t>
        <w:t>g</w:t>
        <w:t xml:space="preserve">)  </w:t>
      </w:r>
      <w:r>
        <w:rPr/>
      </w:r>
      <w:r>
        <w:t xml:space="preserve">Compensation system for state and legislative employees, which is defined as:</w:t>
      </w:r>
    </w:p>
    <w:p>
      <w:pPr>
        <w:jc w:val="both"/>
        <w:spacing w:before="100" w:after="0"/>
        <w:ind w:start="1800"/>
      </w:pPr>
      <w:r>
        <w:rPr/>
        <w:t>(</w:t>
        <w:t>i</w:t>
        <w:t xml:space="preserve">)  </w:t>
      </w:r>
      <w:r>
        <w:rPr/>
      </w:r>
      <w:r>
        <w:t xml:space="preserve">Guide charts, if any, and job evaluation factors, including factor language and factor weights, used to evaluate jobs for pay purposes;</w:t>
      </w:r>
    </w:p>
    <w:p>
      <w:pPr>
        <w:jc w:val="both"/>
        <w:spacing w:before="100" w:after="0"/>
        <w:ind w:start="1800"/>
      </w:pPr>
      <w:r>
        <w:rPr/>
        <w:t>(</w:t>
        <w:t>ii</w:t>
        <w:t xml:space="preserve">)  </w:t>
      </w:r>
      <w:r>
        <w:rPr/>
      </w:r>
      <w:r>
        <w:t xml:space="preserve">Job point to pay grade conversion tables;</w:t>
      </w:r>
    </w:p>
    <w:p>
      <w:pPr>
        <w:jc w:val="both"/>
        <w:spacing w:before="100" w:after="0"/>
        <w:ind w:start="1800"/>
      </w:pPr>
      <w:r>
        <w:rPr/>
        <w:t>(</w:t>
        <w:t>iii</w:t>
        <w:t xml:space="preserve">)  </w:t>
      </w:r>
      <w:r>
        <w:rPr/>
      </w:r>
      <w:r>
        <w:t xml:space="preserve">The number of and spread between pay steps within pay grades;</w:t>
      </w:r>
    </w:p>
    <w:p>
      <w:pPr>
        <w:jc w:val="both"/>
        <w:spacing w:before="100" w:after="0"/>
        <w:ind w:start="1800"/>
      </w:pPr>
      <w:r>
        <w:rPr/>
        <w:t>(</w:t>
        <w:t>iv</w:t>
        <w:t xml:space="preserve">)  </w:t>
      </w:r>
      <w:r>
        <w:rPr/>
      </w:r>
      <w:r>
        <w:t xml:space="preserve">The number of and spread between pay grades within the system; and</w:t>
      </w:r>
    </w:p>
    <w:p>
      <w:pPr>
        <w:jc w:val="both"/>
        <w:spacing w:before="100" w:after="0"/>
        <w:ind w:start="1800"/>
      </w:pPr>
      <w:r>
        <w:rPr/>
        <w:t>(</w:t>
        <w:t>v</w:t>
        <w:t xml:space="preserve">)  </w:t>
      </w:r>
      <w:r>
        <w:rPr/>
      </w:r>
      <w:r>
        <w:t xml:space="preserve">Temporary payment of recruitment and retention stipends, provided the stipends are allowed under Civil Service Law;</w:t>
      </w:r>
    </w:p>
    <w:p>
      <w:pPr>
        <w:jc w:val="both"/>
        <w:spacing w:before="100" w:after="0"/>
        <w:ind w:start="1440"/>
      </w:pPr>
      <w:r>
        <w:rPr/>
        <w:t>(</w:t>
        <w:t>h</w:t>
        <w:t xml:space="preserve">)  </w:t>
      </w:r>
      <w:r>
        <w:rPr/>
      </w:r>
      <w:r>
        <w:t xml:space="preserve">The nature of and procedures governing appeals of the allocation or reallocation of job classifications to pay grades resulting from any revisions to the compensation system; and</w:t>
      </w:r>
    </w:p>
    <w:p>
      <w:pPr>
        <w:jc w:val="both"/>
        <w:spacing w:before="100" w:after="0"/>
        <w:ind w:start="1440"/>
      </w:pPr>
      <w:r>
        <w:rPr/>
        <w:t>(</w:t>
        <w:t>i</w:t>
        <w:t xml:space="preserve">)  </w:t>
      </w:r>
      <w:r>
        <w:rPr/>
      </w:r>
      <w:r>
        <w:t xml:space="preserve">Implementation of any revisions to the compensation system.</w:t>
      </w:r>
    </w:p>
    <w:p>
      <w:pPr>
        <w:jc w:val="both"/>
        <w:spacing w:before="100" w:after="0"/>
        <w:ind w:start="1080"/>
      </w:pPr>
      <w:r>
        <w:rPr/>
        <w:t>(</w:t>
        <w:t>2</w:t>
        <w:t xml:space="preserve">)  </w:t>
      </w:r>
      <w:r>
        <w:rPr/>
      </w:r>
      <w:r>
        <w:t xml:space="preserve">Subparagraph (1), shall not be construed to be in derogation of or contravene the spirit and intent of the merit system principles and personnel laws.</w:t>
      </w:r>
    </w:p>
    <w:p>
      <w:pPr>
        <w:jc w:val="both"/>
        <w:spacing w:before="100" w:after="0"/>
        <w:ind w:start="1080"/>
      </w:pPr>
      <w:r>
        <w:rPr/>
        <w:t>(</w:t>
        <w:t>3</w:t>
        <w:t xml:space="preserve">)  </w:t>
      </w:r>
      <w:r>
        <w:rPr/>
      </w:r>
      <w:r>
        <w:t xml:space="preserve">Cost items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subparagraph may not be submitted in the same legislation that contains cost items for employees exempted from the definition of "state employee" under </w:t>
      </w:r>
      <w:r>
        <w:t>section 979‑A, subsection 6</w:t>
      </w:r>
      <w:r>
        <w:t xml:space="preserve"> and employees of the legislative branch, except that cost items for those employees exempted under </w:t>
      </w:r>
      <w:r>
        <w:t>section 979‑A, subsection 6, paragraph F</w:t>
      </w:r>
      <w:r>
        <w:t xml:space="preserve"> need not be excluded.</w:t>
      </w:r>
    </w:p>
    <w:p>
      <w:pPr>
        <w:jc w:val="both"/>
        <w:spacing w:before="100" w:after="0"/>
        <w:ind w:start="1080"/>
      </w:pPr>
      <w:r>
        <w:rPr/>
        <w:t>(</w:t>
        <w:t>4</w:t>
        <w:t xml:space="preserve">)  </w:t>
      </w:r>
      <w:r>
        <w:rPr/>
      </w:r>
      <w:r>
        <w:t xml:space="preserve">Collective bargaining over the subjects described in subparagraph (1), divisions (g), (h) and (i), is subject to the following.</w:t>
      </w:r>
    </w:p>
    <w:p>
      <w:pPr>
        <w:jc w:val="both"/>
        <w:spacing w:before="100" w:after="0"/>
        <w:ind w:start="1440"/>
      </w:pPr>
      <w:r>
        <w:rPr/>
        <w:t>(</w:t>
        <w:t>a</w:t>
        <w:t xml:space="preserve">)  </w:t>
      </w:r>
      <w:r>
        <w:rPr/>
      </w:r>
      <w:r>
        <w:t xml:space="preserve">Subparagraph (1), division (g), shall not be construed to authorize any more than one system for evaluating jobs of state employees in bargaining units recognized under this chapter.</w:t>
      </w:r>
    </w:p>
    <w:p>
      <w:pPr>
        <w:jc w:val="both"/>
        <w:spacing w:before="100" w:after="0"/>
        <w:ind w:start="1440"/>
      </w:pPr>
      <w:r>
        <w:rPr/>
        <w:t>(</w:t>
        <w:t>b</w:t>
        <w:t xml:space="preserve">)  </w:t>
      </w:r>
      <w:r>
        <w:rPr/>
      </w:r>
      <w:r>
        <w:t xml:space="preserve">Either the public employer or the bargaining agents may compel the other party to bargain collectively over the subjects described in subparagraph (1), divisions (g), (h) and (i), provided that bargaining over those subjects may not be compelled by either the public employer or the bargaining agents sooner than 10 years after the parties' last agreement to revise the compensation system made pursuant to a demand to bargain.</w:t>
      </w:r>
    </w:p>
    <w:p>
      <w:pPr>
        <w:jc w:val="both"/>
        <w:spacing w:before="100" w:after="0"/>
        <w:ind w:start="1440"/>
      </w:pPr>
      <w:r>
        <w:rPr/>
        <w:t>(</w:t>
        <w:t>c</w:t>
        <w:t xml:space="preserve">)  </w:t>
      </w:r>
      <w:r>
        <w:rPr/>
      </w:r>
      <w:r>
        <w:t xml:space="preserve">During the periods of time described in division (b), when the subjects described in subparagraph (1), divisions (g), (h) and (i), are not mandatory subjects of bargaining, they shall be permissive subjects of bargaining.</w:t>
      </w:r>
    </w:p>
    <w:p>
      <w:pPr>
        <w:jc w:val="both"/>
        <w:spacing w:before="100" w:after="0"/>
        <w:ind w:start="1440"/>
      </w:pPr>
      <w:r>
        <w:rPr/>
        <w:t>(</w:t>
        <w:t>d</w:t>
        <w:t xml:space="preserve">)  </w:t>
      </w:r>
      <w:r>
        <w:rPr/>
      </w:r>
      <w:r>
        <w:t xml:space="preserve">Bargaining over the subjects described in subparagraph (1), divisions (g), (h) and (i), shall be conducted separately and apart from bargaining with individual bargaining agents over all other negotiable subjects and shall be conducted within a committee composed of representatives of management and of the bargaining units recognized under this chapter.</w:t>
      </w:r>
    </w:p>
    <w:p>
      <w:pPr>
        <w:jc w:val="both"/>
        <w:spacing w:before="100" w:after="0"/>
        <w:ind w:start="1440"/>
      </w:pPr>
      <w:r>
        <w:rPr/>
        <w:t>(</w:t>
        <w:t>e</w:t>
        <w:t xml:space="preserve">)  </w:t>
      </w:r>
      <w:r>
        <w:rPr/>
      </w:r>
      <w:r>
        <w:t xml:space="preserve">The labor representatives on the committee shall consist of equal numbers of representatives from each of the bargaining units recognized under this chapter.  Each bargaining unit shall have one vote, regardless of the number of representatives, on any matter addressed by the committee.  The labor position on any matter addressed by the committee shall be established by majority vote of the units recognized under this chapter.  A majority vote of the units is necessary to initiate bargaining over the matters described in subparagraph (1), divisions (g), (h) and (i).</w:t>
      </w:r>
    </w:p>
    <w:p>
      <w:pPr>
        <w:jc w:val="both"/>
        <w:spacing w:before="100" w:after="0"/>
        <w:ind w:start="1440"/>
      </w:pPr>
      <w:r>
        <w:rPr/>
        <w:t>(</w:t>
        <w:t>f</w:t>
        <w:t xml:space="preserve">)  </w:t>
      </w:r>
      <w:r>
        <w:rPr/>
      </w:r>
      <w:r>
        <w:t xml:space="preserve">Notwithstanding the time frame provided in subparagraph (3), cost items resulting from revisions to the compensation system may only be submitted to the Legislature for funding after all appeals from the allocation or reallocation of job classifications under the revised system have been finally decided.  The cost items relating to an individual bargaining unit shall be submitted to the Legislature for funding as part of the next legislation submitted pursuant to subparagraph (3) to fund a collective bargaining agreement between the State and that bargaining unit.</w:t>
      </w:r>
    </w:p>
    <w:p>
      <w:pPr>
        <w:jc w:val="both"/>
        <w:spacing w:before="100" w:after="0"/>
        <w:ind w:start="1440"/>
      </w:pPr>
      <w:r>
        <w:rPr/>
        <w:t>(</w:t>
        <w:t>g</w:t>
        <w:t xml:space="preserve">)  </w:t>
      </w:r>
      <w:r>
        <w:rPr/>
      </w:r>
      <w:r>
        <w:t xml:space="preserve">Bargaining over the subjects described in subparagraph (1), divisions (g), (h) and (i), shall be subject to the dispute resolution procedures of </w:t>
      </w:r>
      <w:r>
        <w:t>subsections 2</w:t>
      </w:r>
      <w:r>
        <w:t xml:space="preserve">, </w:t>
      </w:r>
      <w:r>
        <w:t>3</w:t>
      </w:r>
      <w:r>
        <w:t xml:space="preserve"> and </w:t>
      </w:r>
      <w:r>
        <w:t>4</w:t>
      </w:r>
      <w:r>
        <w:t xml:space="preserve">.  For purposes of </w:t>
      </w:r>
      <w:r>
        <w:t>subsection 4, paragraph D</w:t>
      </w:r>
      <w:r>
        <w:t xml:space="preserve">, controversies over the subjects described in subparagraph (1), divisions (g), (h) and (i), shall be deemed "controversies over salaries."</w:t>
      </w:r>
    </w:p>
    <w:p>
      <w:pPr>
        <w:jc w:val="both"/>
        <w:spacing w:before="100" w:after="0"/>
        <w:ind w:start="1080"/>
      </w:pPr>
      <w:r>
        <w:rPr/>
        <w:t>(</w:t>
        <w:t>5</w:t>
        <w:t xml:space="preserve">)  </w:t>
      </w:r>
      <w:r>
        <w:rPr/>
      </w:r>
      <w:r>
        <w:t xml:space="preserve">Nothing in this chapter may be construed to exclude from the scope of collective bargaining the subjects described in subparagraph (1), divisions (g), (h) and (i).</w:t>
      </w:r>
      <w:r>
        <w:t xml:space="preserve">  </w:t>
      </w:r>
      <w:r xmlns:wp="http://schemas.openxmlformats.org/drawingml/2010/wordprocessingDrawing" xmlns:w15="http://schemas.microsoft.com/office/word/2012/wordml">
        <w:rPr>
          <w:rFonts w:ascii="Arial" w:hAnsi="Arial" w:cs="Arial"/>
          <w:sz w:val="22"/>
          <w:szCs w:val="22"/>
        </w:rPr>
        <w:t xml:space="preserve">[PL 2021, c. 553, §18 (AMD); PL 2021,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§18 (AMD); PL 2021, c. 601, §5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§33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564, §34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§§33, 34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section 965, 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If the parties have not resolved their controversy by the end of the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§61 (COR).]</w:t>
      </w:r>
    </w:p>
    <w:p>
      <w:pPr>
        <w:jc w:val="both"/>
        <w:spacing w:before="100" w:after="0"/>
        <w:ind w:start="720"/>
      </w:pPr>
      <w:r>
        <w:rPr/>
        <w:t>C</w:t>
        <w:t xml:space="preserve">.  </w:t>
      </w:r>
      <w:r>
        <w:rPr/>
      </w:r>
      <w:r>
        <w:t xml:space="preserve">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the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State Government and the Legislature for qualified employees;</w:t>
      </w:r>
    </w:p>
    <w:p>
      <w:pPr>
        <w:jc w:val="both"/>
        <w:spacing w:before="100" w:after="0"/>
        <w:ind w:start="1080"/>
      </w:pPr>
      <w:r>
        <w:rPr/>
        <w:t>(</w:t>
        <w:t>6</w:t>
        <w:t xml:space="preserve">)  </w:t>
      </w:r>
      <w:r>
        <w:rPr/>
      </w:r>
      <w:r>
        <w:t xml:space="preserve">Conditions of employment in similar occupations outside State Government or the legislative branch;</w:t>
      </w:r>
    </w:p>
    <w:p>
      <w:pPr>
        <w:jc w:val="both"/>
        <w:spacing w:before="100" w:after="0"/>
        <w:ind w:start="1080"/>
      </w:pPr>
      <w:r>
        <w:rPr/>
        <w:t>(</w:t>
        <w:t>7</w:t>
        <w:t xml:space="preserve">)  </w:t>
      </w:r>
      <w:r>
        <w:rPr/>
      </w:r>
      <w:r>
        <w:t xml:space="preserve">The need to maintain appropriate relationships between different occupations in State Government or in the legislative branch;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741, §7 (AMD); PL 1997, c. 741, §12 (AFF).]</w:t>
      </w:r>
    </w:p>
    <w:p>
      <w:pPr>
        <w:jc w:val="both"/>
        <w:spacing w:before="100" w:after="0"/>
        <w:ind w:start="720"/>
      </w:pPr>
      <w:r>
        <w:rPr/>
        <w:t>D</w:t>
        <w:t xml:space="preserve">.  </w:t>
      </w:r>
      <w:r>
        <w:rPr/>
      </w:r>
      <w:r>
        <w:t xml:space="preserve">With respect to controversies over salaries, pensions and insurance, the arbitrator will recommend terms of settlement and may make findings of fact. Such recommendations and findings shall be advisory and shall not be binding upon the parties. The determination by the 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The arbitrator has a period of 30 days from the termination of the hearing in which to submit  a report to the parties and to the board, unless the 30-day time limitation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§§61, 62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or arbitrators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§§32-34 (AMD). PL 1979, c. 501, §3 (AMD). PL 1985, c. 289 (AMD). PL 1985, c. 785, §B117 (AMD). PL 1987, c. 33 (AMD). PL 1989, c. 596, §N4 (AMD). PL 1991, c. 622, §O9 (AMD). PL 1997, c. 741, §§6,7 (AMD). PL 1997, c. 741, §12 (AFF). PL 2021, c. 553, §18 (AMD). PL 2021, c. 601, §5 (AMD). RR 2023, c. 2, Pt. E, §§61,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§979-D.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§979-D.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§979-D.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