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979-J</w:t>
        <w:t xml:space="preserve">.  </w:t>
      </w:r>
      <w:r>
        <w:rPr>
          <w:b/>
        </w:rPr>
        <w:t xml:space="preserve">Reports</w:t>
      </w:r>
    </w:p>
    <w:p>
      <w:pPr>
        <w:jc w:val="both"/>
        <w:spacing w:before="100" w:after="0"/>
        <w:ind w:start="360"/>
        <w:ind w:firstLine="360"/>
      </w:pPr>
      <w:r>
        <w:rPr>
          <w:b/>
        </w:rPr>
        <w:t>1</w:t>
        <w:t xml:space="preserve">.  </w:t>
      </w:r>
      <w:r>
        <w:rPr>
          <w:b/>
        </w:rPr>
        <w:t xml:space="preserve">Report; budget.</w:t>
        <w:t xml:space="preserve"> </w:t>
      </w:r>
      <w:r>
        <w:t xml:space="preserve"> </w:t>
      </w:r>
      <w:r>
        <w:t xml:space="preserve">The board shall annually, on or before the first day of July, make a report to the Governor. The appropriation for the board and the executive director must be included in the budget of the Department of Labor and authorization for expenditures is the responsibility of the chair or executive director. The board shall prepare a biennial budget for submission to the Legislature for appropriations sufficient to carry out its duties. Authorization for expenditures is the responsibility of the board. All expenses of the board and its staff, including all necessary traveling and subsistence expenses, must be paid on presentation of itemized vouchers therefor approved by the board or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§67 (COR).]</w:t>
      </w:r>
    </w:p>
    <w:p>
      <w:pPr>
        <w:jc w:val="both"/>
        <w:spacing w:before="100" w:after="0"/>
        <w:ind w:start="360"/>
        <w:ind w:firstLine="360"/>
      </w:pPr>
      <w:r>
        <w:rPr>
          <w:b/>
        </w:rPr>
        <w:t>2</w:t>
        <w:t xml:space="preserve">.  </w:t>
      </w:r>
      <w:r>
        <w:rPr>
          <w:b/>
        </w:rPr>
      </w:r>
      <w:r>
        <w:t xml:space="preserve"> </w:t>
      </w:r>
      <w:r>
        <w:t xml:space="preserve">The board shall have the authority to recommend to the Legislature changes or additions to this chapter or to related enactments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§37 (AMD). PL 1975, c. 612, §5 (AMD). PL 1975, c. 771, §284 (AMD). PL 1981, c. 168, §8 (AMD). RR 2023, c. 2, Pt. E,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§979-J.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§979-J.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§979-J.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