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Purpose</w:t>
      </w:r>
    </w:p>
    <w:p>
      <w:pPr>
        <w:jc w:val="both"/>
        <w:spacing w:before="100" w:after="100"/>
        <w:ind w:start="360"/>
        <w:ind w:firstLine="360"/>
      </w:pPr>
      <w:r>
        <w:rPr/>
      </w:r>
      <w:r>
        <w:rPr/>
      </w:r>
      <w:r>
        <w:t xml:space="preserve">Recognizing the need to enhance culture and the arts and to encourage the development of artists, it is the intent of the Legislature to establish the Percent for Art Program to provide funds for and authorize the acquisition of works of art for certain public buildings and public facilities.</w:t>
      </w:r>
      <w:r>
        <w:t xml:space="preserve">  </w:t>
      </w:r>
      <w:r xmlns:wp="http://schemas.openxmlformats.org/drawingml/2010/wordprocessingDrawing" xmlns:w15="http://schemas.microsoft.com/office/word/2012/wordml">
        <w:rPr>
          <w:rFonts w:ascii="Arial" w:hAnsi="Arial" w:cs="Arial"/>
          <w:sz w:val="22"/>
          <w:szCs w:val="22"/>
        </w:rPr>
        <w:t xml:space="preserve">[PL 1989, c. 912,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1987, c. 469, §§1, 11 (AMD). PL 1989, c. 912,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