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Membership</w:t>
      </w:r>
    </w:p>
    <w:p>
      <w:pPr>
        <w:jc w:val="both"/>
        <w:spacing w:before="100" w:after="100"/>
        <w:ind w:start="360"/>
        <w:ind w:firstLine="360"/>
      </w:pPr>
      <w:r>
        <w:rPr/>
      </w:r>
      <w:r>
        <w:rPr/>
      </w:r>
      <w:r>
        <w:t xml:space="preserve">Upon the expiration of the term of existing members, the term of office of each appointed member shall be 5 years or until his successor is appointed and qualified. No member shall serve more than 2 successive terms. In the case of a vacancy, other than the expiration of a term, the appointment of a successor shall be appointed by the Governor for the balance of the term. The commission shall meet at least 4 times a year. It shall adopt and may amend bylaws for its internal organization and operation. The director shall serve as secretary to the commission. 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PL 1983, c. 812, §172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§503.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