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Maine Communities in the New Century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Maine Communities in the New Century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§558. MAINE COMMUNITIES IN THE NEW CENTURY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