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Other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§1012. OTHER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