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 Class A 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Class A 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§1065. CLASS A 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