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Dual liquor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Dual liquor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§1208. DUAL LIQUOR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