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Certificate of approval</w:t>
      </w:r>
    </w:p>
    <w:p>
      <w:pPr>
        <w:jc w:val="both"/>
        <w:spacing w:before="100" w:after="0"/>
        <w:ind w:start="360"/>
        <w:ind w:firstLine="360"/>
      </w:pPr>
      <w:r>
        <w:rPr>
          <w:b/>
        </w:rPr>
        <w:t>1</w:t>
        <w:t xml:space="preserve">.  </w:t>
      </w:r>
      <w:r>
        <w:rPr>
          <w:b/>
        </w:rPr>
        <w:t xml:space="preserve">Certificate of approval required.</w:t>
        <w:t xml:space="preserve"> </w:t>
      </w:r>
      <w:r>
        <w:t xml:space="preserve"> </w:t>
      </w:r>
      <w:r>
        <w:t xml:space="preserve">All out-of-state manufacturers of malt liquor or wine, out-of-state wholesalers of malt liquor or wine and out-of-state spirits suppliers must obtain a certificate of approval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(AMD); PL 2019, c. 615, §7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§112 (AMD). PL 2019, c. 615, §2 (AMD). PL 2019, c. 615,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Certificate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Certificate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§1351. CERTIFICATE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