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§2052. ILLEGAL TRANSPORTATION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