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Records confidential</w:t>
      </w:r>
    </w:p>
    <w:p>
      <w:pPr>
        <w:jc w:val="both"/>
        <w:spacing w:before="100" w:after="100"/>
        <w:ind w:start="360"/>
        <w:ind w:firstLine="360"/>
      </w:pPr>
      <w:r>
        <w:rPr/>
      </w:r>
      <w:r>
        <w:rPr/>
      </w:r>
      <w:r>
        <w:t xml:space="preserve">Except for on-premises spirits sales data required to be reported by reselling agents in accordance with </w:t>
      </w:r>
      <w:r>
        <w:t>section 453‑C, subsection 4</w:t>
      </w:r>
      <w:r>
        <w:t xml:space="preserve">, all business and financial records of licensees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430,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2015, c. 430,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