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PL 2023, c. 679, Pt. B,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