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Individual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§106. INDIVIDUAL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