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office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minors;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PL 2023, c. 679,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Public health and safety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Public health and safety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§108. PUBLIC HEALTH AND SAFETY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