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Adult Use Cannabis Regulatory Coordination Fund</w:t>
      </w:r>
    </w:p>
    <w:p>
      <w:pPr>
        <w:jc w:val="both"/>
        <w:spacing w:before="100" w:after="100"/>
        <w:ind w:start="360"/>
        <w:ind w:firstLine="360"/>
      </w:pPr>
      <w:r>
        <w:rPr/>
      </w:r>
      <w:r>
        <w:rPr/>
      </w:r>
      <w:r>
        <w:t xml:space="preserve">The Adult Use Cannabis Regulatory Coordination Fund, referred to in this section as "the fund," is established as a dedicated, nonlapsing Other Special Revenue Funds account in the office.  The fund is administered and used by the director for the purposes of adopting rules under this chapter and for the purposes of implementing, administering and enforcing this chapter.  The director may expend money in the fund to enter into contracts with consultants and employ staff, as determined necessary by the director, conduct meetings with stakeholders and conduct any other activities related to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Adult Use Cannabis Regulatory Coordination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Adult Use Cannabis Regulatory Coordination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§1102. ADULT USE CANNABIS REGULATORY COORDINATION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