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2025, and annually thereafter, the office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§19 (AMD).]</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office pursuant to this chapter during the prior calendar year, including, if applicable, the number of applications for license renewals, and the number of each type of license conditionally approved by the office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B</w:t>
        <w:t xml:space="preserve">.  </w:t>
      </w:r>
      <w:r>
        <w:rPr/>
      </w:r>
      <w:r>
        <w:t xml:space="preserve">The total number of each type of active license issued by the office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C</w:t>
        <w:t xml:space="preserve">.  </w:t>
      </w:r>
      <w:r>
        <w:rPr/>
      </w:r>
      <w:r>
        <w:t xml:space="preserve">The total square footage of plant canopy approved by the office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office and the cost to the office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office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office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J</w:t>
        <w:t xml:space="preserve">.  </w:t>
      </w:r>
      <w:r>
        <w:rPr/>
      </w:r>
      <w:r>
        <w:t xml:space="preserve">Public health and safety data collected, received or analyzed by the office pursuant to </w:t>
      </w:r>
      <w:r>
        <w:t>section 107</w:t>
      </w:r>
      <w:r>
        <w:t xml:space="preserve">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office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L</w:t>
        <w:t xml:space="preserve">.  </w:t>
      </w:r>
      <w:r>
        <w:rPr/>
      </w:r>
      <w:r>
        <w:t xml:space="preserve">A detailed account of income and expenditures for the Adult Use Cannabis Regulatory Coordination Fund established in </w:t>
      </w:r>
      <w:r>
        <w:t>section 1102</w:t>
      </w:r>
      <w:r>
        <w:t xml:space="preserve"> and the Adult Use Cannabis Public Health and Safety and Municipal Opt-in Fund established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§20 (AMD).]</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§113.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