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License term</w:t>
      </w:r>
    </w:p>
    <w:p>
      <w:pPr>
        <w:jc w:val="both"/>
        <w:spacing w:before="100" w:after="100"/>
        <w:ind w:start="360"/>
        <w:ind w:firstLine="360"/>
      </w:pPr>
      <w:r>
        <w:rPr/>
      </w:r>
      <w:r>
        <w:rPr/>
      </w:r>
      <w:r>
        <w:t xml:space="preserve">An active license issued by the office pursuant to </w:t>
      </w:r>
      <w:r>
        <w:t>section 205, subsection 4</w:t>
      </w:r>
      <w:r>
        <w:t xml:space="preserve"> is effective for a period of one year from the date of issuance and may be renewed pursuant to </w:t>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 License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License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§208. LICENSE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