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Notice of new principal</w:t>
      </w:r>
    </w:p>
    <w:p>
      <w:pPr>
        <w:jc w:val="both"/>
        <w:spacing w:before="100" w:after="100"/>
        <w:ind w:start="360"/>
        <w:ind w:firstLine="360"/>
      </w:pPr>
      <w:r>
        <w:rPr/>
      </w:r>
      <w:r>
        <w:rPr/>
      </w:r>
      <w:r>
        <w:t xml:space="preserve">Before any proposed new principal may own, manage, work for or otherwise associate with a licensee, the licensee shall notify the  office in writing of the name, address and date of birth of the proposed new principal.  The proposed new principal shall submit to a criminal history record check pursuant to section 204, obtain an individual identification card pursuant to section 106 and, in the case of a new principal or other person assuming an equity ownership interest or a partial equity ownership interest in the license, obtain approval for the transfer of ownership interests pursuant to section 210, unless the transfer of ownership interests is otherwise exempt from prior approval under section 210, subsection 1-A.</w:t>
      </w:r>
      <w:r>
        <w:t xml:space="preserve">  </w:t>
      </w:r>
      <w:r xmlns:wp="http://schemas.openxmlformats.org/drawingml/2010/wordprocessingDrawing" xmlns:w15="http://schemas.microsoft.com/office/word/2012/wordml">
        <w:rPr>
          <w:rFonts w:ascii="Arial" w:hAnsi="Arial" w:cs="Arial"/>
          <w:sz w:val="22"/>
          <w:szCs w:val="22"/>
        </w:rPr>
        <w:t xml:space="preserve">[PL 2023, c. 679, Pt. B,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 Notice of new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Notice of new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§213. NOTICE OF NEW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