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§53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§54 (AMD).]</w:t>
      </w:r>
    </w:p>
    <w:p>
      <w:pPr>
        <w:jc w:val="both"/>
        <w:spacing w:before="100" w:after="0"/>
        <w:ind w:start="360"/>
      </w:pPr>
      <w:r>
        <w:rPr/>
      </w:r>
      <w:r>
        <w:rPr/>
      </w:r>
      <w:r>
        <w:t xml:space="preserve">A municipality may certify to the office a person's compliance with the requirements of </w:t>
      </w:r>
      <w:r>
        <w:t>paragraph B</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§§54, 55 (AMD).]</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§§53-55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Local authorization of cannabis establishments within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Local authorization of cannabis establishments within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§402. LOCAL AUTHORIZATION OF CANNABIS ESTABLISHMENTS WITHIN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