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Traffic infraction</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traffic infraction is not a crime.  The penalty for a traffic infraction may not be deemed for any purpose a penal or criminal punishment.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Jury trial.</w:t>
        <w:t xml:space="preserve"> </w:t>
      </w:r>
      <w:r>
        <w:t xml:space="preserve"> </w:t>
      </w:r>
      <w:r>
        <w:t xml:space="preserve">There is no right to trial by jury for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Exclusive penalty.</w:t>
        <w:t xml:space="preserve"> </w:t>
      </w:r>
      <w:r>
        <w:t xml:space="preserve"> </w:t>
      </w:r>
      <w:r>
        <w:t xml:space="preserve">The exclusive penalty for a traffic infraction is a fine of not less than $25 nor more than $500, unless specifically authorized, or suspension of a license,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§2 (AMD).]</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burden of proof that a traffic infraction has occurred is on the State and must be established by a standard of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§B2 (AMD). PL 2011, c. 156,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Traffic infraction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Traffic infraction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§103. TRAFFIC INFRACTION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