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Minors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Secretary of State may not accept the application for a license of a minor unless the application is:</w:t>
      </w:r>
    </w:p>
    <w:p>
      <w:pPr>
        <w:jc w:val="both"/>
        <w:spacing w:before="100" w:after="0"/>
        <w:ind w:start="720"/>
      </w:pPr>
      <w:r>
        <w:rPr/>
        <w:t>A</w:t>
        <w:t xml:space="preserve">.  </w:t>
      </w:r>
      <w:r>
        <w:rPr/>
      </w:r>
      <w:r>
        <w:t xml:space="preserve">Signed by a parent or guardian;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Signed by the spouse of the minor, provided the spouse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the minor has no parent, guardian or spouse who has attained the age of 18 years of age, signed by the employer of the minor if that employer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Accompanied by an attested copy of a court order of emancipation under </w:t>
      </w:r>
      <w:r>
        <w:t>Title 15, 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license be suspended, the Secretary of State shall, pursuant to </w:t>
      </w:r>
      <w:r>
        <w:t>chapter 23</w:t>
      </w:r>
      <w:r>
        <w:t xml:space="preserve">, suspend the license without hearing.  A suspension under this section may not be construed against the minor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§1302.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