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§1352. MOTORCYCLE RIDER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