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Duplicate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Duplicate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§1405. DUPLICATE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