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Licensing authority</w:t>
      </w:r>
    </w:p>
    <w:p>
      <w:pPr>
        <w:jc w:val="both"/>
        <w:spacing w:before="100" w:after="100"/>
        <w:ind w:start="360"/>
        <w:ind w:firstLine="360"/>
      </w:pPr>
      <w:r>
        <w:rPr/>
      </w:r>
      <w:r>
        <w:rPr/>
      </w:r>
      <w:r>
        <w:t xml:space="preserve">As used in the compact, the term "licensing authority" with reference to this State, means the Secretary of State.  The Secretary of State shall furnish to the appropriate authorities of any other party state any information or documents reasonably necessary to facilitate the administration of </w:t>
      </w:r>
      <w:r>
        <w:t>Articles III</w:t>
      </w:r>
      <w:r>
        <w:t xml:space="preserve">, </w:t>
      </w:r>
      <w:r>
        <w:t>IV</w:t>
      </w:r>
      <w:r>
        <w:t xml:space="preserve"> and </w:t>
      </w:r>
      <w:r>
        <w:t>V</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§1472.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§1472.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