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Change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Change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§1856. CHANGE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