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§1926. Nitrous oxide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Nitrous oxide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§1926. NITROUS OXIDE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