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Traffic lanes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Traffic lanes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§2051. TRAFFIC LANES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