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B. To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B. To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B. TO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