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§2089. Operation of low-speed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 Operation of low-speed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§2089. OPERATION OF LOW-SPEED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