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Accidents involving death or personal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Accidents involving death or personal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§2252. ACCIDENTS INVOLVING DEATH OR PERSONAL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