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§2254. ACCIDENTS INVOLVING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