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§2360-A. Exception to axle fines during the midwinter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§2360-A. Exception to axle fines during the midwinter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§2360-A. EXCEPTION TO AXLE FINES DURING THE MIDWINTER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