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2460</w:t>
        <w:t xml:space="preserve">.  </w:t>
      </w:r>
      <w:r>
        <w:rPr>
          <w:b/>
        </w:rPr>
        <w:t xml:space="preserve">Reciprocity</w:t>
      </w:r>
    </w:p>
    <w:p>
      <w:pPr>
        <w:jc w:val="both"/>
        <w:spacing w:before="100" w:after="100"/>
        <w:ind w:start="360"/>
        <w:ind w:firstLine="360"/>
      </w:pPr>
      <w:r>
        <w:rPr>
          <w:b/>
        </w:rPr>
        <w:t>1</w:t>
        <w:t xml:space="preserve">.  </w:t>
      </w:r>
      <w:r>
        <w:rPr>
          <w:b/>
        </w:rPr>
        <w:t xml:space="preserve">Resident driver's license.</w:t>
        <w:t xml:space="preserve"> </w:t>
      </w:r>
      <w:r>
        <w:t xml:space="preserve"> </w:t>
      </w:r>
      <w:r>
        <w:t xml:space="preserve">The Secretary of State may suspend a resident driver's license or certificate of registration and plates if the resident has failed to:</w:t>
      </w:r>
    </w:p>
    <w:p>
      <w:pPr>
        <w:jc w:val="both"/>
        <w:spacing w:before="100" w:after="0"/>
        <w:ind w:start="720"/>
      </w:pPr>
      <w:r>
        <w:rPr/>
        <w:t>A</w:t>
        <w:t xml:space="preserve">.  </w:t>
      </w:r>
      <w:r>
        <w:rPr/>
      </w:r>
      <w:r>
        <w:t xml:space="preserve">Respond to a traffic citation issued by another state or province;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Appear in court in another state or province at the time specified by the court;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Comply with a court order issued by another state or province.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by another jurisdiction.</w:t>
        <w:t xml:space="preserve"> </w:t>
      </w:r>
      <w:r>
        <w:t xml:space="preserve"> </w:t>
      </w:r>
      <w:r>
        <w:t xml:space="preserve">If the Secretary of State is notified by another jurisdiction that a resident has had a license or registration suspended, revoked or annulled, the Secretary of State may suspend license or registration granted to that person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Nonresident violator compacts.</w:t>
        <w:t xml:space="preserve"> </w:t>
      </w:r>
      <w:r>
        <w:t xml:space="preserve"> </w:t>
      </w:r>
      <w:r>
        <w:t xml:space="preserve">The Secretary of State may enter into and carry out the provisions of a nonresident violator compact with any jurisdiction of the United States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§119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§A119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§2460.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§2460.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§2460.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