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2527</w:t>
        <w:t xml:space="preserve">.  </w:t>
      </w:r>
      <w:r>
        <w:rPr>
          <w:b/>
        </w:rPr>
        <w:t xml:space="preserve">Rules regulating sample collection and testing procedures</w:t>
      </w:r>
    </w:p>
    <w:p>
      <w:pPr>
        <w:jc w:val="both"/>
        <w:spacing w:before="100" w:after="100"/>
        <w:ind w:start="360"/>
        <w:ind w:firstLine="360"/>
      </w:pPr>
      <w:r>
        <w:rPr/>
      </w:r>
      <w:r>
        <w:rPr/>
      </w:r>
      <w:r>
        <w:t xml:space="preserve">The Department of Health and Human Services shall adopt rules regulating sample collection and testing procedures to ensure accurate and reliable testing and to protect the privacy of the person providing the sample.  The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1</w:t>
        <w:t xml:space="preserve">.  </w:t>
      </w:r>
      <w:r>
        <w:rPr>
          <w:b/>
        </w:rPr>
        <w:t xml:space="preserve">Standards.</w:t>
        <w:t xml:space="preserve"> </w:t>
      </w:r>
      <w:r>
        <w:t xml:space="preserve"> </w:t>
      </w:r>
      <w:r>
        <w:t xml:space="preserve">Standards for determining when a sample is to be reported as negative, based upon standards specific to the type and sensitivity of the test and the drug or category of drug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Urine samples.</w:t>
        <w:t xml:space="preserve"> </w:t>
      </w:r>
      <w:r>
        <w:t xml:space="preserve"> </w:t>
      </w:r>
      <w:r>
        <w:t xml:space="preserve">A requirement that only a law enforcement officer or law enforcement agency employee of the same sex as the person providing the sample, or a health care practitioner, may observe the giving of a urine sample, and that it may be collected only within a law enforcement or health care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Sample for defendant.</w:t>
        <w:t xml:space="preserve"> </w:t>
      </w:r>
      <w:r>
        <w:t xml:space="preserve"> </w:t>
      </w:r>
      <w:r>
        <w:t xml:space="preserve">A requirement that, at the request and expense of the person charged, the department shall segregate a portion of the sample collected for that person's own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department may establish rules governing the format in which the test results are reported.  At the time of adoption, the department shall furnish a copy of these rules to the joint standing committee of the Legislature having jurisdiction over legal affairs for review.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§2527. Rules regulating sample collection and testing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§2527. Rules regulating sample collection and testing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§2527. RULES REGULATING SAMPLE COLLECTION AND TESTING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