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Immediate revocation; duration of revocation</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shall immediately revoke, without preliminary hearing, the license to operate a motor vehicle of an habitual offender.</w:t>
      </w:r>
      <w:r>
        <w:t xml:space="preserve">  </w:t>
      </w:r>
      <w:r xmlns:wp="http://schemas.openxmlformats.org/drawingml/2010/wordprocessingDrawing" xmlns:w15="http://schemas.microsoft.com/office/word/2012/wordml">
        <w:rPr>
          <w:rFonts w:ascii="Arial" w:hAnsi="Arial" w:cs="Arial"/>
          <w:sz w:val="22"/>
          <w:szCs w:val="22"/>
        </w:rPr>
        <w:t xml:space="preserve">[PL 1999, c. 547, Pt. B, §49 (AMD); PL 1999, c. 547, Pt. B, §80 (AFF).]</w:t>
      </w:r>
    </w:p>
    <w:p>
      <w:pPr>
        <w:jc w:val="both"/>
        <w:spacing w:before="100" w:after="100"/>
        <w:ind w:start="360"/>
        <w:ind w:firstLine="360"/>
      </w:pPr>
      <w:r>
        <w:rPr/>
      </w:r>
      <w:r>
        <w:rPr/>
      </w:r>
      <w:r>
        <w:t xml:space="preserve">The revocation under this section is indefinite.  A license may not be issued to an habitual offender until after the minimum periods specified in </w:t>
      </w:r>
      <w:r>
        <w:t>section 2554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§A124 (AMD). PL 1995, c. 65, §§A153,C15 (AFF). PL 1999, c. 547, §B49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§2552. Immediate revocation; duration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Immediate revocation; duration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§2552. IMMEDIATE REVOCATION; DURATION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