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Members of Armed Forces</w:t>
      </w:r>
    </w:p>
    <w:p>
      <w:pPr>
        <w:jc w:val="both"/>
        <w:spacing w:before="100" w:after="100"/>
        <w:ind w:start="360"/>
        <w:ind w:firstLine="360"/>
      </w:pPr>
      <w:r>
        <w:rPr/>
      </w:r>
      <w:r>
        <w:rPr/>
      </w:r>
      <w:r>
        <w:t xml:space="preserve">A registration issued by the Armed Forces of the United States in foreign countries for a vehicle owned by military personnel is valid for 45 days after the owner has returned to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Members of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Members of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§353. MEMBERS OF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