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Voluntary surrender or cancellation</w:t>
      </w:r>
    </w:p>
    <w:p>
      <w:pPr>
        <w:jc w:val="both"/>
        <w:spacing w:before="100" w:after="100"/>
        <w:ind w:start="360"/>
        <w:ind w:firstLine="360"/>
      </w:pPr>
      <w:r>
        <w:rPr/>
      </w:r>
      <w:r>
        <w:rPr/>
      </w:r>
      <w:r>
        <w:t xml:space="preserve">A registrant may voluntarily surrender vehicle registration.  The Secretary of State shall record that the registration has been cancelled.  The Secretary of State may require the return of any certificate of registration or registration plate issued to the registrant for the vehicle.  The registrant may activate the registration at any time prior to the original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433, §6 (AMD);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§A3 (NEW). PL 2005, c. 433, §6 (AMD). PL 2005, c. 433,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 Voluntary surrender or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Voluntary surrender or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§410. VOLUNTARY SURRENDER OR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