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§533-A. Municipal Excise Tax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§533-A. MUNICIPAL EXCISE TAX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