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§561-A. Fines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§561-A. Fines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§561-A. FINES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