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 If the first lienholder named on the certificate of title participates in the electronic lien titling program as provided by </w:t>
      </w:r>
      <w:r>
        <w:t>section 651‑A</w:t>
      </w:r>
      <w:r>
        <w:t xml:space="preserve">, the first lienholder may request that the Secretary of State print a paper certificate of title or certificate of salvage and mail it to an alternate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PL 2023, c. 634,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§657.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