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Duplicate certificate of title, certificate of salvage or certificate of lien</w:t>
      </w:r>
    </w:p>
    <w:p>
      <w:pPr>
        <w:jc w:val="both"/>
        <w:spacing w:before="100" w:after="0"/>
        <w:ind w:start="360"/>
        <w:ind w:firstLine="360"/>
      </w:pPr>
      <w:r>
        <w:rPr>
          <w:b/>
        </w:rPr>
        <w:t>1</w:t>
        <w:t xml:space="preserve">.  </w:t>
      </w:r>
      <w:r>
        <w:rPr>
          <w:b/>
        </w:rPr>
        <w:t xml:space="preserve">Application.</w:t>
        <w:t xml:space="preserve"> </w:t>
      </w:r>
      <w:r>
        <w:t xml:space="preserve"> </w:t>
      </w:r>
      <w:r>
        <w:t xml:space="preserve">If a certificate of title or certificate of salvage is lost, stolen, mutilated or destroyed or becomes illegible, the owner or legal representative of the owner named in the certificate, as shown by the records of the Secretary of State, shall promptly make application for and may obtain a duplicate upon furnishing information satisfactory to the Secretary of State.  A duplicate certificate of title or certificate of salvage must contain the legend, "This is a duplicate certificate and may be subject to the rights of a person under the original certificate."  It must be mailed to the owner named on the certificate unless that owner gives written authorization to mail the certificate to another person.  If a certificate of lien has been lost, stolen, mutilated or destroyed or becomes illegible, the first lienholder shown on the certificate may apply for and obtain a duplicate upon furnishing information satisfactory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Time.</w:t>
        <w:t xml:space="preserve"> </w:t>
      </w:r>
      <w:r>
        <w:t xml:space="preserve"> </w:t>
      </w:r>
      <w:r>
        <w:t xml:space="preserve">The Secretary of State is not required to issue a duplicate until 15 days after the previous title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§11 (AMD).]</w:t>
      </w:r>
    </w:p>
    <w:p>
      <w:pPr>
        <w:jc w:val="both"/>
        <w:spacing w:before="100" w:after="0"/>
        <w:ind w:start="360"/>
        <w:ind w:firstLine="360"/>
      </w:pPr>
      <w:r>
        <w:rPr>
          <w:b/>
        </w:rPr>
        <w:t>3</w:t>
        <w:t xml:space="preserve">.  </w:t>
      </w:r>
      <w:r>
        <w:rPr>
          <w:b/>
        </w:rPr>
        <w:t xml:space="preserve">Surrender of original.</w:t>
        <w:t xml:space="preserve"> </w:t>
      </w:r>
      <w:r>
        <w:t xml:space="preserve"> </w:t>
      </w:r>
      <w:r>
        <w:t xml:space="preserve">A person recovering an original certificate for which a duplicate has been issued shall promptly surrender the original to the Secretary of State.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§22 (AMD). PL 2001, c. 361, §38 (AFF). PL 2009, c. 435,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 Duplicate certificate of title, certificate of salvage or certificate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Duplicate certificate of title, certificate of salvage or certificate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§661. DUPLICATE CERTIFICATE OF TITLE, CERTIFICATE OF SALVAGE OR CERTIFICATE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