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Requirements</w:t>
      </w:r>
    </w:p>
    <w:p>
      <w:pPr>
        <w:jc w:val="both"/>
        <w:spacing w:before="100" w:after="100"/>
        <w:ind w:start="360"/>
        <w:ind w:firstLine="360"/>
      </w:pPr>
      <w:r>
        <w:rPr>
          <w:b/>
        </w:rPr>
        <w:t>1</w:t>
        <w:t xml:space="preserve">.  </w:t>
      </w:r>
      <w:r>
        <w:rPr>
          <w:b/>
        </w:rPr>
        <w:t xml:space="preserve">Facilities.</w:t>
        <w:t xml:space="preserve"> </w:t>
      </w:r>
      <w:r>
        <w:t xml:space="preserve"> </w:t>
      </w:r>
      <w:r>
        <w:t xml:space="preserve">To qualify for a dealer license, an applicant must maintain the following facilities and personnel:</w:t>
      </w:r>
    </w:p>
    <w:p>
      <w:pPr>
        <w:jc w:val="both"/>
        <w:spacing w:before="100" w:after="0"/>
        <w:ind w:start="720"/>
      </w:pPr>
      <w:r>
        <w:rPr/>
        <w:t>A</w:t>
        <w:t xml:space="preserve">.  </w:t>
      </w:r>
      <w:r>
        <w:rPr/>
      </w:r>
      <w:r>
        <w:t xml:space="preserve">Facilities for the display of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repair department for repair of vehicles;</w:t>
      </w:r>
      <w:r>
        <w:t xml:space="preserve">  </w:t>
      </w:r>
      <w:r xmlns:wp="http://schemas.openxmlformats.org/drawingml/2010/wordprocessingDrawing" xmlns:w15="http://schemas.microsoft.com/office/word/2012/wordml">
        <w:rPr>
          <w:rFonts w:ascii="Arial" w:hAnsi="Arial" w:cs="Arial"/>
          <w:sz w:val="22"/>
          <w:szCs w:val="22"/>
        </w:rPr>
        <w:t xml:space="preserve">[PL 2011, c. 556, §7 (AMD).]</w:t>
      </w:r>
    </w:p>
    <w:p>
      <w:pPr>
        <w:jc w:val="both"/>
        <w:spacing w:before="100" w:after="0"/>
        <w:ind w:start="720"/>
      </w:pPr>
      <w:r>
        <w:rPr/>
        <w:t>C</w:t>
        <w:t xml:space="preserve">.  </w:t>
      </w:r>
      <w:r>
        <w:rPr/>
      </w:r>
      <w:r>
        <w:t xml:space="preserve">Sufficient tools and equipment for servicing of the vehicles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suitable office in which business is conducted and records of the business are kept; and</w:t>
      </w:r>
      <w:r>
        <w:t xml:space="preserve">  </w:t>
      </w:r>
      <w:r xmlns:wp="http://schemas.openxmlformats.org/drawingml/2010/wordprocessingDrawing" xmlns:w15="http://schemas.microsoft.com/office/word/2012/wordml">
        <w:rPr>
          <w:rFonts w:ascii="Arial" w:hAnsi="Arial" w:cs="Arial"/>
          <w:sz w:val="22"/>
          <w:szCs w:val="22"/>
        </w:rPr>
        <w:t xml:space="preserve">[PL 2021, c. 216, §24 (AMD).]</w:t>
      </w:r>
    </w:p>
    <w:p>
      <w:pPr>
        <w:jc w:val="both"/>
        <w:spacing w:before="100" w:after="0"/>
        <w:ind w:start="720"/>
      </w:pPr>
      <w:r>
        <w:rPr/>
        <w:t>E</w:t>
        <w:t xml:space="preserve">.  </w:t>
      </w:r>
      <w:r>
        <w:rPr/>
      </w:r>
      <w:r>
        <w:t xml:space="preserve">At least one mechanic, who may be the owner, who has a thorough knowledge of the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2021, c. 216, §25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216,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§§24-26 (AMD).]</w:t>
      </w:r>
    </w:p>
    <w:p>
      <w:pPr>
        <w:jc w:val="both"/>
        <w:spacing w:before="100" w:after="0"/>
        <w:ind w:start="360"/>
        <w:ind w:firstLine="360"/>
      </w:pPr>
      <w:r>
        <w:rPr>
          <w:b/>
        </w:rPr>
        <w:t>1-A</w:t>
        <w:t xml:space="preserve">.  </w:t>
      </w:r>
      <w:r>
        <w:rPr>
          <w:b/>
        </w:rPr>
        <w:t xml:space="preserve">Display license.</w:t>
        <w:t xml:space="preserve"> </w:t>
      </w:r>
      <w:r>
        <w:t xml:space="preserve"> </w:t>
      </w:r>
      <w:r>
        <w:t xml:space="preserve">A dealer shall display the dealer's license at the dealer's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§27 (NEW).]</w:t>
      </w:r>
    </w:p>
    <w:p>
      <w:pPr>
        <w:jc w:val="both"/>
        <w:spacing w:before="100" w:after="100"/>
        <w:ind w:start="360"/>
        <w:ind w:firstLine="360"/>
      </w:pPr>
      <w:r>
        <w:rPr>
          <w:b/>
        </w:rPr>
        <w:t>1-B</w:t>
        <w:t xml:space="preserve">.  </w:t>
      </w:r>
      <w:r>
        <w:rPr>
          <w:b/>
        </w:rPr>
        <w:t xml:space="preserve">Vehicles.</w:t>
        <w:t xml:space="preserve"> </w:t>
      </w:r>
      <w:r>
        <w:t xml:space="preserve"> </w:t>
      </w:r>
      <w:r>
        <w:t xml:space="preserve">A dealer shall:</w:t>
      </w:r>
    </w:p>
    <w:p>
      <w:pPr>
        <w:jc w:val="both"/>
        <w:spacing w:before="100" w:after="0"/>
        <w:ind w:start="720"/>
      </w:pPr>
      <w:r>
        <w:rPr/>
        <w:t>A</w:t>
        <w:t xml:space="preserve">.  </w:t>
      </w:r>
      <w:r>
        <w:rPr/>
      </w:r>
      <w:r>
        <w:t xml:space="preserve">On all used motor vehicles offered for sale, ensure that the written vehicle history statement is conspicuously affixed to the vehicle pursuant to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B</w:t>
        <w:t xml:space="preserve">.  </w:t>
      </w:r>
      <w:r>
        <w:rPr/>
      </w:r>
      <w:r>
        <w:t xml:space="preserve">For all vehicles sold, comply with the provisions of </w:t>
      </w:r>
      <w:r>
        <w:t>Title 10, chapter 217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C</w:t>
        <w:t xml:space="preserve">.  </w:t>
      </w:r>
      <w:r>
        <w:rPr/>
      </w:r>
      <w:r>
        <w:t xml:space="preserve">For a motor vehicle sold at retail to the end consumer, engrave the vehicle identification number on the catalytic converter in a location that is visible from the underside of the motor vehicle. The vehicle identification number engraved on the catalytic converter must be legible. This paragraph does not require a dealer to engrave the vehicle identification number on the catalytic converter if:</w:t>
      </w:r>
    </w:p>
    <w:p>
      <w:pPr>
        <w:jc w:val="both"/>
        <w:spacing w:before="100" w:after="0"/>
        <w:ind w:start="1080"/>
      </w:pPr>
      <w:r>
        <w:rPr/>
        <w:t>(</w:t>
        <w:t>1</w:t>
        <w:t xml:space="preserve">)  </w:t>
      </w:r>
      <w:r>
        <w:rPr/>
      </w:r>
      <w:r>
        <w:t xml:space="preserve">The motor vehicle is sold at wholesale; or</w:t>
      </w:r>
    </w:p>
    <w:p>
      <w:pPr>
        <w:jc w:val="both"/>
        <w:spacing w:before="100" w:after="0"/>
        <w:ind w:start="1080"/>
      </w:pPr>
      <w:r>
        <w:rPr/>
        <w:t>(</w:t>
        <w:t>2</w:t>
        <w:t xml:space="preserve">)  </w:t>
      </w:r>
      <w:r>
        <w:rPr/>
      </w:r>
      <w:r>
        <w:t xml:space="preserve">The catalytic converter is not in a location where it is clearly visible from the underside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660,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§3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who held used car registration plates on January 1, 1964 is exempt from </w:t>
      </w:r>
      <w:r>
        <w:t>subsection 1, paragraphs B</w:t>
      </w:r>
      <w:r>
        <w:t xml:space="preserve"> and </w:t>
      </w:r>
      <w:r>
        <w:t>E</w:t>
      </w:r>
      <w:r>
        <w:t xml:space="preserve">.  This exemption expires if that person sells or discontinues that business and subsequently becomes licensed again on or after January 1, 1985.</w:t>
      </w:r>
    </w:p>
    <w:p>
      <w:pPr>
        <w:jc w:val="both"/>
        <w:spacing w:before="100" w:after="0"/>
        <w:ind w:start="360"/>
      </w:pPr>
      <w:r>
        <w:rPr/>
      </w:r>
      <w:r>
        <w:rPr/>
      </w:r>
      <w:r>
        <w:t xml:space="preserve">A vehicle manufacturer who does not retail vehicles directly to the public is exempt from the requirements under </w:t>
      </w:r>
      <w:r>
        <w:t>subsection 1</w:t>
      </w:r>
      <w:r>
        <w:t xml:space="preserve">, except the requirement under </w:t>
      </w:r>
      <w:r>
        <w:t>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w:t>
      </w:r>
      <w:r>
        <w:t>subsections 1</w:t>
      </w:r>
      <w:r>
        <w:t xml:space="preserve">, </w:t>
      </w:r>
      <w:r>
        <w:t>1‑A</w:t>
      </w:r>
      <w:r>
        <w:t xml:space="preserve"> and </w:t>
      </w:r>
      <w:r>
        <w:t>1‑B</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§29 (AMD).]</w:t>
      </w:r>
    </w:p>
    <w:p>
      <w:pPr>
        <w:jc w:val="both"/>
        <w:spacing w:before="100" w:after="0"/>
        <w:ind w:start="360"/>
        <w:ind w:firstLine="360"/>
      </w:pPr>
      <w:r>
        <w:rPr>
          <w:b/>
        </w:rPr>
        <w:t>4</w:t>
        <w:t xml:space="preserve">.  </w:t>
      </w:r>
      <w:r>
        <w:rPr>
          <w:b/>
        </w:rPr>
        <w:t xml:space="preserve">Display.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§C3 (AMD). PL 1999, c. 771, §§D1,2 (AFF). PL 2001, c. 671, §18 (AMD). PL 2011, c. 556, §7 (AMD). PL 2021, c. 216, §§24-30 (AMD). PL 2021, c. 660,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§952.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