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 LICENSE TO DEAL IN NEW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